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3F763718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="00BD4450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BD4450">
        <w:rPr>
          <w:rFonts w:ascii="Arial" w:hAnsi="Arial" w:cs="Arial"/>
          <w:b/>
          <w:bCs/>
          <w:sz w:val="24"/>
        </w:rPr>
        <w:t>11730</w:t>
      </w:r>
      <w:bookmarkStart w:id="0" w:name="_GoBack"/>
      <w:bookmarkEnd w:id="0"/>
    </w:p>
    <w:p w14:paraId="0DDD9E9D" w14:textId="5E495DE4" w:rsidR="00A968BE" w:rsidRDefault="00BD4450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Chongqing, China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18</w:t>
      </w:r>
      <w:r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October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D7EF0FE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0E62E959" w:rsidR="0072162A" w:rsidRPr="00A474E4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40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A474E4" w:rsidRPr="00A474E4">
        <w:rPr>
          <w:rFonts w:ascii="Arial" w:hAnsi="Arial" w:cs="Arial"/>
          <w:sz w:val="24"/>
          <w:szCs w:val="16"/>
          <w:lang w:eastAsia="en-GB"/>
        </w:rPr>
        <w:t>Summary of agreements for NR_eMIMO up to RAN1#98</w:t>
      </w:r>
      <w:r w:rsidR="005C3F14" w:rsidRPr="00A474E4">
        <w:rPr>
          <w:rFonts w:ascii="Arial" w:hAnsi="Arial" w:cs="Arial"/>
          <w:sz w:val="40"/>
          <w:szCs w:val="24"/>
        </w:rPr>
        <w:t xml:space="preserve"> </w:t>
      </w:r>
    </w:p>
    <w:p w14:paraId="2C6606AC" w14:textId="19A47C09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3" w:name="_Ref5850594"/>
      <w:r w:rsidRPr="005B160C">
        <w:rPr>
          <w:lang w:val="en-US"/>
        </w:rPr>
        <w:t>Introduction</w:t>
      </w:r>
      <w:bookmarkEnd w:id="3"/>
    </w:p>
    <w:p w14:paraId="235B8EE9" w14:textId="007111EE" w:rsidR="00104003" w:rsidRDefault="000434F6" w:rsidP="006E43E0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This summary consists of this “header” document and six additional documents, each summarizing the agreements for NR_eMIMO up to RAN1#98</w:t>
      </w:r>
      <w:r w:rsidR="00BD4450">
        <w:rPr>
          <w:lang w:val="en-US"/>
        </w:rPr>
        <w:t>bis</w:t>
      </w:r>
      <w:r>
        <w:rPr>
          <w:lang w:val="en-US"/>
        </w:rPr>
        <w:t>:</w:t>
      </w:r>
    </w:p>
    <w:p w14:paraId="14CF9A83" w14:textId="2BD98E9B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Low PAPR RS (denoted as LoPAPR RS)</w:t>
      </w:r>
    </w:p>
    <w:p w14:paraId="6D1E6876" w14:textId="28BF42C4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CSI enhancement for multi-user MIMO (denoted as MUCSI)</w:t>
      </w:r>
    </w:p>
    <w:p w14:paraId="6BA1207B" w14:textId="3FF659A5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Multi-TRP enhancement (denoted as MTRP)</w:t>
      </w:r>
    </w:p>
    <w:p w14:paraId="105016A9" w14:textId="78274FF6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First part of multi-beam operation enhancement on reduced latency/overhead beam management (denoted as MB1)</w:t>
      </w:r>
    </w:p>
    <w:p w14:paraId="089F137D" w14:textId="45FBB1A2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Second part of multi-beam operation enhancement including L1-SINR and SCell BFR (denoted as MB2)</w:t>
      </w:r>
    </w:p>
    <w:p w14:paraId="7D666077" w14:textId="587DCC95" w:rsidR="000434F6" w:rsidRPr="00483E9E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UL full power transmission (denoted as ULFPTX)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A321F" w14:textId="77777777" w:rsidR="005B062C" w:rsidRDefault="005B062C">
      <w:r>
        <w:separator/>
      </w:r>
    </w:p>
  </w:endnote>
  <w:endnote w:type="continuationSeparator" w:id="0">
    <w:p w14:paraId="78B3F5E9" w14:textId="77777777" w:rsidR="005B062C" w:rsidRDefault="005B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BE1F1" w14:textId="77777777" w:rsidR="005B062C" w:rsidRDefault="005B062C">
      <w:r>
        <w:separator/>
      </w:r>
    </w:p>
  </w:footnote>
  <w:footnote w:type="continuationSeparator" w:id="0">
    <w:p w14:paraId="0D5D777E" w14:textId="77777777" w:rsidR="005B062C" w:rsidRDefault="005B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664856"/>
    <w:multiLevelType w:val="hybridMultilevel"/>
    <w:tmpl w:val="96F84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 w:numId="4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4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4F6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62C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D14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43E0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4E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50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BDF536-E376-4EF1-BD2D-CB5D7239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7</cp:revision>
  <cp:lastPrinted>2017-03-24T06:34:00Z</cp:lastPrinted>
  <dcterms:created xsi:type="dcterms:W3CDTF">2019-08-28T19:45:00Z</dcterms:created>
  <dcterms:modified xsi:type="dcterms:W3CDTF">2019-10-25T19:47:00Z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